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83" w:rsidRPr="00600B2B" w:rsidRDefault="00694CC1" w:rsidP="009A0C93">
      <w:pPr>
        <w:spacing w:before="120"/>
        <w:jc w:val="center"/>
        <w:rPr>
          <w:rFonts w:ascii="Copperplate Gothic Bold" w:hAnsi="Copperplate Gothic Bold" w:cs="Arial"/>
          <w:sz w:val="36"/>
          <w:szCs w:val="28"/>
        </w:rPr>
      </w:pPr>
      <w:bookmarkStart w:id="0" w:name="_GoBack"/>
      <w:bookmarkEnd w:id="0"/>
      <w:r w:rsidRPr="00600B2B">
        <w:rPr>
          <w:rFonts w:ascii="Copperplate Gothic Bold" w:hAnsi="Copperplate Gothic Bold" w:cs="Arial"/>
          <w:sz w:val="32"/>
        </w:rPr>
        <w:t>MANAGING RISK ACROSS BORDERS</w:t>
      </w:r>
    </w:p>
    <w:p w:rsidR="00102515" w:rsidRDefault="00102515" w:rsidP="009A0C93">
      <w:pPr>
        <w:tabs>
          <w:tab w:val="center" w:pos="4513"/>
          <w:tab w:val="left" w:pos="5400"/>
          <w:tab w:val="left" w:pos="7264"/>
        </w:tabs>
        <w:spacing w:before="120"/>
        <w:jc w:val="center"/>
        <w:rPr>
          <w:rFonts w:ascii="Arial" w:hAnsi="Arial" w:cs="Arial"/>
          <w:b/>
          <w:i/>
          <w:sz w:val="20"/>
          <w:szCs w:val="20"/>
        </w:rPr>
      </w:pPr>
    </w:p>
    <w:p w:rsidR="000E1891" w:rsidRPr="00614CDE" w:rsidRDefault="000E1891" w:rsidP="009A0C93">
      <w:pPr>
        <w:tabs>
          <w:tab w:val="center" w:pos="4513"/>
          <w:tab w:val="left" w:pos="5400"/>
          <w:tab w:val="left" w:pos="7264"/>
        </w:tabs>
        <w:spacing w:before="120"/>
        <w:jc w:val="center"/>
        <w:rPr>
          <w:rFonts w:ascii="Arial" w:hAnsi="Arial" w:cs="Arial"/>
          <w:b/>
          <w:i/>
          <w:sz w:val="20"/>
          <w:szCs w:val="20"/>
        </w:rPr>
      </w:pPr>
      <w:r w:rsidRPr="00614CDE">
        <w:rPr>
          <w:rFonts w:ascii="Arial" w:hAnsi="Arial" w:cs="Arial"/>
          <w:b/>
          <w:i/>
          <w:sz w:val="20"/>
          <w:szCs w:val="20"/>
        </w:rPr>
        <w:t>©</w:t>
      </w:r>
      <w:r w:rsidR="00906344">
        <w:rPr>
          <w:rFonts w:ascii="Arial" w:hAnsi="Arial" w:cs="Arial"/>
          <w:b/>
          <w:i/>
          <w:sz w:val="20"/>
          <w:szCs w:val="20"/>
        </w:rPr>
        <w:t xml:space="preserve"> </w:t>
      </w:r>
      <w:r w:rsidR="00694CC1">
        <w:rPr>
          <w:rFonts w:ascii="Arial" w:hAnsi="Arial" w:cs="Arial"/>
          <w:b/>
          <w:i/>
          <w:sz w:val="20"/>
          <w:szCs w:val="20"/>
        </w:rPr>
        <w:t>March</w:t>
      </w:r>
      <w:r w:rsidR="000D013C" w:rsidRPr="00614CDE">
        <w:rPr>
          <w:rFonts w:ascii="Arial" w:hAnsi="Arial" w:cs="Arial"/>
          <w:b/>
          <w:i/>
          <w:sz w:val="20"/>
          <w:szCs w:val="20"/>
        </w:rPr>
        <w:t xml:space="preserve"> </w:t>
      </w:r>
      <w:r w:rsidR="00694CC1">
        <w:rPr>
          <w:rFonts w:ascii="Arial" w:hAnsi="Arial" w:cs="Arial"/>
          <w:b/>
          <w:i/>
          <w:sz w:val="20"/>
          <w:szCs w:val="20"/>
        </w:rPr>
        <w:t>2013</w:t>
      </w:r>
      <w:proofErr w:type="gramStart"/>
      <w:r w:rsidRPr="00614CDE">
        <w:rPr>
          <w:rFonts w:ascii="Arial" w:hAnsi="Arial" w:cs="Arial"/>
          <w:b/>
          <w:i/>
          <w:sz w:val="20"/>
          <w:szCs w:val="20"/>
        </w:rPr>
        <w:t>,  Dr</w:t>
      </w:r>
      <w:proofErr w:type="gramEnd"/>
      <w:r w:rsidRPr="00614CDE">
        <w:rPr>
          <w:rFonts w:ascii="Arial" w:hAnsi="Arial" w:cs="Arial"/>
          <w:b/>
          <w:i/>
          <w:sz w:val="20"/>
          <w:szCs w:val="20"/>
        </w:rPr>
        <w:t xml:space="preserve"> </w:t>
      </w:r>
      <w:smartTag w:uri="urn:schemas-microsoft-com:office:smarttags" w:element="PersonName">
        <w:r w:rsidRPr="00614CDE">
          <w:rPr>
            <w:rFonts w:ascii="Arial" w:hAnsi="Arial" w:cs="Arial"/>
            <w:b/>
            <w:i/>
            <w:sz w:val="20"/>
            <w:szCs w:val="20"/>
          </w:rPr>
          <w:t xml:space="preserve">David </w:t>
        </w:r>
        <w:smartTag w:uri="urn:schemas-microsoft-com:office:smarttags" w:element="PersonName">
          <w:r w:rsidRPr="00614CDE">
            <w:rPr>
              <w:rFonts w:ascii="Arial" w:hAnsi="Arial" w:cs="Arial"/>
              <w:b/>
              <w:i/>
              <w:sz w:val="20"/>
              <w:szCs w:val="20"/>
            </w:rPr>
            <w:t>Hillson</w:t>
          </w:r>
        </w:smartTag>
      </w:smartTag>
      <w:r w:rsidRPr="00614CDE">
        <w:rPr>
          <w:rFonts w:ascii="Arial" w:hAnsi="Arial" w:cs="Arial"/>
          <w:b/>
          <w:i/>
          <w:sz w:val="20"/>
          <w:szCs w:val="20"/>
        </w:rPr>
        <w:t xml:space="preserve"> </w:t>
      </w:r>
      <w:r w:rsidR="00403668">
        <w:rPr>
          <w:rFonts w:ascii="Arial" w:hAnsi="Arial" w:cs="Arial"/>
          <w:b/>
          <w:i/>
          <w:sz w:val="16"/>
          <w:szCs w:val="20"/>
        </w:rPr>
        <w:t xml:space="preserve">FIRM, </w:t>
      </w:r>
      <w:r w:rsidR="002A768A" w:rsidRPr="002A768A">
        <w:rPr>
          <w:rFonts w:ascii="Arial" w:hAnsi="Arial" w:cs="Arial"/>
          <w:b/>
          <w:i/>
          <w:sz w:val="16"/>
          <w:szCs w:val="20"/>
        </w:rPr>
        <w:t>Hon</w:t>
      </w:r>
      <w:r w:rsidRPr="002A768A">
        <w:rPr>
          <w:rFonts w:ascii="Arial" w:hAnsi="Arial" w:cs="Arial"/>
          <w:b/>
          <w:i/>
          <w:sz w:val="16"/>
          <w:szCs w:val="20"/>
        </w:rPr>
        <w:t>FAPM</w:t>
      </w:r>
      <w:r w:rsidR="00103EE8">
        <w:rPr>
          <w:rFonts w:ascii="Arial" w:hAnsi="Arial" w:cs="Arial"/>
          <w:b/>
          <w:i/>
          <w:sz w:val="16"/>
          <w:szCs w:val="20"/>
        </w:rPr>
        <w:t>, PMI Fellow</w:t>
      </w:r>
    </w:p>
    <w:p w:rsidR="000E1891" w:rsidRPr="00614CDE" w:rsidRDefault="000E1891" w:rsidP="009A0C93">
      <w:pPr>
        <w:tabs>
          <w:tab w:val="left" w:pos="5400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14CDE">
        <w:rPr>
          <w:rFonts w:ascii="Arial" w:hAnsi="Arial" w:cs="Arial"/>
          <w:i/>
          <w:sz w:val="20"/>
          <w:szCs w:val="20"/>
        </w:rPr>
        <w:t>david@risk-doctor.com</w:t>
      </w:r>
    </w:p>
    <w:p w:rsidR="00102515" w:rsidRPr="00154FC9" w:rsidRDefault="00102515" w:rsidP="00102515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102515" w:rsidRPr="00E33475" w:rsidRDefault="00694CC1" w:rsidP="00102515">
      <w:pPr>
        <w:spacing w:before="120"/>
        <w:jc w:val="both"/>
        <w:rPr>
          <w:rFonts w:ascii="Arial" w:hAnsi="Arial" w:cs="Arial"/>
          <w:szCs w:val="22"/>
        </w:rPr>
      </w:pPr>
      <w:r w:rsidRPr="00E33475">
        <w:rPr>
          <w:rFonts w:ascii="Arial" w:hAnsi="Arial" w:cs="Arial"/>
          <w:szCs w:val="22"/>
        </w:rPr>
        <w:t xml:space="preserve">Many organisations conduct business internationally in our connected world, and we need to consider the particular risks that </w:t>
      </w:r>
      <w:r w:rsidR="007B0FCD">
        <w:rPr>
          <w:rFonts w:ascii="Arial" w:hAnsi="Arial" w:cs="Arial"/>
          <w:szCs w:val="22"/>
        </w:rPr>
        <w:t xml:space="preserve">might </w:t>
      </w:r>
      <w:r w:rsidRPr="00E33475">
        <w:rPr>
          <w:rFonts w:ascii="Arial" w:hAnsi="Arial" w:cs="Arial"/>
          <w:szCs w:val="22"/>
        </w:rPr>
        <w:t xml:space="preserve">arise from </w:t>
      </w:r>
      <w:r w:rsidR="007B0FCD">
        <w:rPr>
          <w:rFonts w:ascii="Arial" w:hAnsi="Arial" w:cs="Arial"/>
          <w:szCs w:val="22"/>
        </w:rPr>
        <w:t>operating</w:t>
      </w:r>
      <w:r w:rsidRPr="00E33475">
        <w:rPr>
          <w:rFonts w:ascii="Arial" w:hAnsi="Arial" w:cs="Arial"/>
          <w:szCs w:val="22"/>
        </w:rPr>
        <w:t xml:space="preserve"> </w:t>
      </w:r>
      <w:r w:rsidR="007B0FCD">
        <w:rPr>
          <w:rFonts w:ascii="Arial" w:hAnsi="Arial" w:cs="Arial"/>
          <w:szCs w:val="22"/>
        </w:rPr>
        <w:t xml:space="preserve">or trading </w:t>
      </w:r>
      <w:r w:rsidRPr="00E33475">
        <w:rPr>
          <w:rFonts w:ascii="Arial" w:hAnsi="Arial" w:cs="Arial"/>
          <w:szCs w:val="22"/>
        </w:rPr>
        <w:t xml:space="preserve">across borders. We recently learned about the risk approach adopted by </w:t>
      </w:r>
      <w:r w:rsidR="006D728C" w:rsidRPr="00E33475">
        <w:rPr>
          <w:rFonts w:ascii="Arial" w:hAnsi="Arial" w:cs="Arial"/>
          <w:szCs w:val="22"/>
        </w:rPr>
        <w:t>AECI (</w:t>
      </w:r>
      <w:hyperlink r:id="rId8" w:history="1">
        <w:r w:rsidR="007D32DF" w:rsidRPr="00E33475">
          <w:rPr>
            <w:rStyle w:val="Hyperlink"/>
            <w:rFonts w:ascii="Arial" w:hAnsi="Arial" w:cs="Arial"/>
            <w:szCs w:val="22"/>
          </w:rPr>
          <w:t>www.AECI.co.za</w:t>
        </w:r>
      </w:hyperlink>
      <w:r w:rsidR="006D728C" w:rsidRPr="00E33475">
        <w:rPr>
          <w:rFonts w:ascii="Arial" w:hAnsi="Arial" w:cs="Arial"/>
          <w:szCs w:val="22"/>
        </w:rPr>
        <w:t>)</w:t>
      </w:r>
      <w:r w:rsidR="007D32DF" w:rsidRPr="00E33475">
        <w:rPr>
          <w:rFonts w:ascii="Arial" w:hAnsi="Arial" w:cs="Arial"/>
          <w:szCs w:val="22"/>
        </w:rPr>
        <w:t xml:space="preserve"> </w:t>
      </w:r>
      <w:r w:rsidRPr="00E33475">
        <w:rPr>
          <w:rFonts w:ascii="Arial" w:hAnsi="Arial" w:cs="Arial"/>
          <w:szCs w:val="22"/>
        </w:rPr>
        <w:t xml:space="preserve">whose business involves transporting toxic chemicals and high-explosives across Africa. They have identified </w:t>
      </w:r>
      <w:r w:rsidR="00046E4F" w:rsidRPr="00E33475">
        <w:rPr>
          <w:rFonts w:ascii="Arial" w:hAnsi="Arial" w:cs="Arial"/>
          <w:szCs w:val="22"/>
        </w:rPr>
        <w:t xml:space="preserve">the following </w:t>
      </w:r>
      <w:r w:rsidR="007D32DF" w:rsidRPr="00E33475">
        <w:rPr>
          <w:rFonts w:ascii="Arial" w:hAnsi="Arial" w:cs="Arial"/>
          <w:szCs w:val="22"/>
        </w:rPr>
        <w:t xml:space="preserve">five </w:t>
      </w:r>
      <w:r w:rsidRPr="00E33475">
        <w:rPr>
          <w:rFonts w:ascii="Arial" w:hAnsi="Arial" w:cs="Arial"/>
          <w:szCs w:val="22"/>
        </w:rPr>
        <w:t>risk categories for their business</w:t>
      </w:r>
      <w:r w:rsidR="00046E4F" w:rsidRPr="00E33475">
        <w:rPr>
          <w:rFonts w:ascii="Arial" w:hAnsi="Arial" w:cs="Arial"/>
          <w:szCs w:val="22"/>
        </w:rPr>
        <w:t>,</w:t>
      </w:r>
      <w:r w:rsidRPr="00E33475">
        <w:rPr>
          <w:rFonts w:ascii="Arial" w:hAnsi="Arial" w:cs="Arial"/>
          <w:szCs w:val="22"/>
        </w:rPr>
        <w:t xml:space="preserve"> </w:t>
      </w:r>
      <w:r w:rsidR="007D32DF" w:rsidRPr="00E33475">
        <w:rPr>
          <w:rFonts w:ascii="Arial" w:hAnsi="Arial" w:cs="Arial"/>
          <w:szCs w:val="22"/>
        </w:rPr>
        <w:t xml:space="preserve">together with sample generic risks in each category, </w:t>
      </w:r>
      <w:r w:rsidRPr="00E33475">
        <w:rPr>
          <w:rFonts w:ascii="Arial" w:hAnsi="Arial" w:cs="Arial"/>
          <w:szCs w:val="22"/>
        </w:rPr>
        <w:t xml:space="preserve">to ensure that </w:t>
      </w:r>
      <w:r w:rsidR="00046E4F" w:rsidRPr="00E33475">
        <w:rPr>
          <w:rFonts w:ascii="Arial" w:hAnsi="Arial" w:cs="Arial"/>
          <w:szCs w:val="22"/>
        </w:rPr>
        <w:t>risk is understood and minimised as far as possible</w:t>
      </w:r>
      <w:r w:rsidR="006D728C" w:rsidRPr="00E33475">
        <w:rPr>
          <w:rFonts w:ascii="Arial" w:hAnsi="Arial" w:cs="Arial"/>
          <w:szCs w:val="22"/>
        </w:rPr>
        <w:t xml:space="preserve"> (*)</w:t>
      </w:r>
      <w:r w:rsidR="00046E4F" w:rsidRPr="00E33475">
        <w:rPr>
          <w:rFonts w:ascii="Arial" w:hAnsi="Arial" w:cs="Arial"/>
          <w:szCs w:val="22"/>
        </w:rPr>
        <w:t>:</w:t>
      </w:r>
    </w:p>
    <w:p w:rsidR="00EF7B6B" w:rsidRPr="00E33475" w:rsidRDefault="007D32DF" w:rsidP="00EF7B6B">
      <w:pPr>
        <w:pStyle w:val="ListParagraph"/>
        <w:numPr>
          <w:ilvl w:val="0"/>
          <w:numId w:val="26"/>
        </w:numPr>
        <w:spacing w:before="120"/>
        <w:jc w:val="both"/>
        <w:rPr>
          <w:rFonts w:ascii="Arial" w:hAnsi="Arial" w:cs="Arial"/>
          <w:b/>
          <w:szCs w:val="22"/>
        </w:rPr>
      </w:pPr>
      <w:r w:rsidRPr="00E33475">
        <w:rPr>
          <w:rFonts w:ascii="Arial" w:hAnsi="Arial" w:cs="Arial"/>
          <w:b/>
          <w:szCs w:val="22"/>
        </w:rPr>
        <w:t>Economic and financial</w:t>
      </w:r>
      <w:r w:rsidR="00E33475">
        <w:rPr>
          <w:rFonts w:ascii="Arial" w:hAnsi="Arial" w:cs="Arial"/>
          <w:b/>
          <w:szCs w:val="22"/>
        </w:rPr>
        <w:t xml:space="preserve"> risks</w:t>
      </w:r>
      <w:r w:rsidRPr="00E33475">
        <w:rPr>
          <w:rFonts w:ascii="Arial" w:hAnsi="Arial" w:cs="Arial"/>
          <w:b/>
          <w:szCs w:val="22"/>
        </w:rPr>
        <w:t>.</w:t>
      </w:r>
      <w:r w:rsidR="00EF7B6B" w:rsidRPr="00E33475">
        <w:rPr>
          <w:rFonts w:ascii="Arial" w:hAnsi="Arial" w:cs="Arial"/>
          <w:b/>
          <w:szCs w:val="22"/>
        </w:rPr>
        <w:t xml:space="preserve"> </w:t>
      </w:r>
      <w:r w:rsidR="00EF7B6B" w:rsidRPr="00E33475">
        <w:rPr>
          <w:rFonts w:ascii="Arial" w:hAnsi="Arial" w:cs="Arial"/>
          <w:szCs w:val="22"/>
        </w:rPr>
        <w:t>This category includes: price fluctuations; maturity of banking systems; tax requirements; foreign exchange risk; interest rate risk; access to capital; data integrity in financial systems; infrastructure neglect; compliance with country-specific laws/regulations; unmanageable inflation</w:t>
      </w:r>
      <w:r w:rsidR="00E33475" w:rsidRPr="00E33475">
        <w:rPr>
          <w:rFonts w:ascii="Arial" w:hAnsi="Arial" w:cs="Arial"/>
          <w:szCs w:val="22"/>
        </w:rPr>
        <w:t>; adequacy of</w:t>
      </w:r>
      <w:r w:rsidR="00EF7B6B" w:rsidRPr="00E33475">
        <w:rPr>
          <w:rFonts w:ascii="Arial" w:hAnsi="Arial" w:cs="Arial"/>
          <w:szCs w:val="22"/>
        </w:rPr>
        <w:t xml:space="preserve"> in-country public liability coverage; additional in-country import tariffs and quotas</w:t>
      </w:r>
      <w:r w:rsidR="00E33475" w:rsidRPr="00E33475">
        <w:rPr>
          <w:rFonts w:ascii="Arial" w:hAnsi="Arial" w:cs="Arial"/>
          <w:szCs w:val="22"/>
        </w:rPr>
        <w:t>.</w:t>
      </w:r>
    </w:p>
    <w:p w:rsidR="00046E4F" w:rsidRPr="00E33475" w:rsidRDefault="00046E4F" w:rsidP="00EF7B6B">
      <w:pPr>
        <w:pStyle w:val="ListParagraph"/>
        <w:spacing w:before="120"/>
        <w:jc w:val="both"/>
        <w:rPr>
          <w:rFonts w:ascii="Arial" w:hAnsi="Arial" w:cs="Arial"/>
          <w:b/>
          <w:szCs w:val="22"/>
        </w:rPr>
      </w:pPr>
    </w:p>
    <w:p w:rsidR="007D32DF" w:rsidRPr="00E33475" w:rsidRDefault="007D32DF" w:rsidP="00E33475">
      <w:pPr>
        <w:pStyle w:val="ListParagraph"/>
        <w:numPr>
          <w:ilvl w:val="0"/>
          <w:numId w:val="26"/>
        </w:numPr>
        <w:spacing w:before="120"/>
        <w:jc w:val="both"/>
        <w:rPr>
          <w:rFonts w:ascii="Arial" w:hAnsi="Arial" w:cs="Arial"/>
          <w:b/>
          <w:szCs w:val="22"/>
        </w:rPr>
      </w:pPr>
      <w:r w:rsidRPr="00E33475">
        <w:rPr>
          <w:rFonts w:ascii="Arial" w:hAnsi="Arial" w:cs="Arial"/>
          <w:b/>
          <w:szCs w:val="22"/>
        </w:rPr>
        <w:t>Environmental</w:t>
      </w:r>
      <w:r w:rsidR="00E33475">
        <w:rPr>
          <w:rFonts w:ascii="Arial" w:hAnsi="Arial" w:cs="Arial"/>
          <w:b/>
          <w:szCs w:val="22"/>
        </w:rPr>
        <w:t xml:space="preserve"> risks</w:t>
      </w:r>
      <w:r w:rsidRPr="00E33475">
        <w:rPr>
          <w:rFonts w:ascii="Arial" w:hAnsi="Arial" w:cs="Arial"/>
          <w:b/>
          <w:szCs w:val="22"/>
        </w:rPr>
        <w:t>.</w:t>
      </w:r>
      <w:r w:rsidR="00E33475" w:rsidRPr="00E33475">
        <w:rPr>
          <w:rFonts w:ascii="Arial" w:hAnsi="Arial" w:cs="Arial"/>
          <w:b/>
          <w:szCs w:val="22"/>
        </w:rPr>
        <w:t xml:space="preserve"> </w:t>
      </w:r>
      <w:r w:rsidR="00E33475" w:rsidRPr="00E33475">
        <w:rPr>
          <w:rFonts w:ascii="Arial" w:hAnsi="Arial" w:cs="Arial"/>
          <w:szCs w:val="22"/>
        </w:rPr>
        <w:t xml:space="preserve">This </w:t>
      </w:r>
      <w:r w:rsidR="00E33475">
        <w:rPr>
          <w:rFonts w:ascii="Arial" w:hAnsi="Arial" w:cs="Arial"/>
          <w:szCs w:val="22"/>
        </w:rPr>
        <w:t xml:space="preserve">group of risks </w:t>
      </w:r>
      <w:r w:rsidR="00E33475" w:rsidRPr="00E33475">
        <w:rPr>
          <w:rFonts w:ascii="Arial" w:hAnsi="Arial" w:cs="Arial"/>
          <w:szCs w:val="22"/>
        </w:rPr>
        <w:t>covers natural or man-made disasters, including: irremediable pollution; persistent extreme weather conditions; vulnerability to geomagnetic storms; rising greenhouse gas emissions.</w:t>
      </w:r>
    </w:p>
    <w:p w:rsidR="00E33475" w:rsidRPr="00E33475" w:rsidRDefault="00E33475" w:rsidP="00E33475">
      <w:pPr>
        <w:pStyle w:val="ListParagraph"/>
        <w:spacing w:before="120"/>
        <w:jc w:val="both"/>
        <w:rPr>
          <w:rFonts w:ascii="Arial" w:hAnsi="Arial" w:cs="Arial"/>
          <w:b/>
          <w:szCs w:val="22"/>
        </w:rPr>
      </w:pPr>
    </w:p>
    <w:p w:rsidR="007D32DF" w:rsidRPr="00E33475" w:rsidRDefault="007D32DF" w:rsidP="00E33475">
      <w:pPr>
        <w:pStyle w:val="ListParagraph"/>
        <w:numPr>
          <w:ilvl w:val="0"/>
          <w:numId w:val="26"/>
        </w:numPr>
        <w:spacing w:before="120"/>
        <w:jc w:val="both"/>
        <w:rPr>
          <w:rFonts w:ascii="Arial" w:hAnsi="Arial" w:cs="Arial"/>
          <w:b/>
          <w:szCs w:val="22"/>
        </w:rPr>
      </w:pPr>
      <w:r w:rsidRPr="00E33475">
        <w:rPr>
          <w:rFonts w:ascii="Arial" w:hAnsi="Arial" w:cs="Arial"/>
          <w:b/>
          <w:szCs w:val="22"/>
        </w:rPr>
        <w:t>Geopolitical</w:t>
      </w:r>
      <w:r w:rsidR="00E33475">
        <w:rPr>
          <w:rFonts w:ascii="Arial" w:hAnsi="Arial" w:cs="Arial"/>
          <w:b/>
          <w:szCs w:val="22"/>
        </w:rPr>
        <w:t xml:space="preserve"> risks</w:t>
      </w:r>
      <w:r w:rsidRPr="00E33475">
        <w:rPr>
          <w:rFonts w:ascii="Arial" w:hAnsi="Arial" w:cs="Arial"/>
          <w:b/>
          <w:szCs w:val="22"/>
        </w:rPr>
        <w:t>.</w:t>
      </w:r>
      <w:r w:rsidR="00E33475" w:rsidRPr="00E33475">
        <w:rPr>
          <w:rFonts w:ascii="Arial" w:hAnsi="Arial" w:cs="Arial"/>
          <w:b/>
          <w:szCs w:val="22"/>
        </w:rPr>
        <w:t xml:space="preserve"> </w:t>
      </w:r>
      <w:r w:rsidR="00E33475" w:rsidRPr="00E33475">
        <w:rPr>
          <w:rFonts w:ascii="Arial" w:hAnsi="Arial" w:cs="Arial"/>
          <w:szCs w:val="22"/>
        </w:rPr>
        <w:t xml:space="preserve">These are risks relating to politics, diplomacy, conflict, crime and governance, including: entrenched organised crime; political instability; failure </w:t>
      </w:r>
      <w:r w:rsidR="00E33475">
        <w:rPr>
          <w:rFonts w:ascii="Arial" w:hAnsi="Arial" w:cs="Arial"/>
          <w:szCs w:val="22"/>
        </w:rPr>
        <w:t>to resolve</w:t>
      </w:r>
      <w:r w:rsidR="00E33475" w:rsidRPr="00E33475">
        <w:rPr>
          <w:rFonts w:ascii="Arial" w:hAnsi="Arial" w:cs="Arial"/>
          <w:szCs w:val="22"/>
        </w:rPr>
        <w:t xml:space="preserve"> diplomatic conflict</w:t>
      </w:r>
      <w:r w:rsidR="00E33475">
        <w:rPr>
          <w:rFonts w:ascii="Arial" w:hAnsi="Arial" w:cs="Arial"/>
          <w:szCs w:val="22"/>
        </w:rPr>
        <w:t>s</w:t>
      </w:r>
      <w:r w:rsidR="00E33475" w:rsidRPr="00E33475">
        <w:rPr>
          <w:rFonts w:ascii="Arial" w:hAnsi="Arial" w:cs="Arial"/>
          <w:szCs w:val="22"/>
        </w:rPr>
        <w:t>; cultural disconnect; pervasive corruption/bribery/fraud; terrorism; pira</w:t>
      </w:r>
      <w:r w:rsidR="007B0FCD">
        <w:rPr>
          <w:rFonts w:ascii="Arial" w:hAnsi="Arial" w:cs="Arial"/>
          <w:szCs w:val="22"/>
        </w:rPr>
        <w:t>cy; trade embargo</w:t>
      </w:r>
      <w:r w:rsidR="00E33475" w:rsidRPr="00E33475">
        <w:rPr>
          <w:rFonts w:ascii="Arial" w:hAnsi="Arial" w:cs="Arial"/>
          <w:szCs w:val="22"/>
        </w:rPr>
        <w:t>s; pol</w:t>
      </w:r>
      <w:r w:rsidR="00E33475">
        <w:rPr>
          <w:rFonts w:ascii="Arial" w:hAnsi="Arial" w:cs="Arial"/>
          <w:szCs w:val="22"/>
        </w:rPr>
        <w:t xml:space="preserve">itical sanctions; </w:t>
      </w:r>
      <w:proofErr w:type="gramStart"/>
      <w:r w:rsidR="00E33475">
        <w:rPr>
          <w:rFonts w:ascii="Arial" w:hAnsi="Arial" w:cs="Arial"/>
          <w:szCs w:val="22"/>
        </w:rPr>
        <w:t>lack</w:t>
      </w:r>
      <w:proofErr w:type="gramEnd"/>
      <w:r w:rsidR="00E33475">
        <w:rPr>
          <w:rFonts w:ascii="Arial" w:hAnsi="Arial" w:cs="Arial"/>
          <w:szCs w:val="22"/>
        </w:rPr>
        <w:t xml:space="preserve"> of cross-</w:t>
      </w:r>
      <w:r w:rsidR="00E33475" w:rsidRPr="00E33475">
        <w:rPr>
          <w:rFonts w:ascii="Arial" w:hAnsi="Arial" w:cs="Arial"/>
          <w:szCs w:val="22"/>
        </w:rPr>
        <w:t>border agreements.</w:t>
      </w:r>
    </w:p>
    <w:p w:rsidR="00E33475" w:rsidRPr="00E33475" w:rsidRDefault="00E33475" w:rsidP="00E33475">
      <w:pPr>
        <w:pStyle w:val="ListParagraph"/>
        <w:spacing w:before="120"/>
        <w:jc w:val="both"/>
        <w:rPr>
          <w:rFonts w:ascii="Arial" w:hAnsi="Arial" w:cs="Arial"/>
          <w:b/>
          <w:szCs w:val="22"/>
        </w:rPr>
      </w:pPr>
    </w:p>
    <w:p w:rsidR="007D32DF" w:rsidRPr="00E33475" w:rsidRDefault="007D32DF" w:rsidP="00E33475">
      <w:pPr>
        <w:pStyle w:val="ListParagraph"/>
        <w:numPr>
          <w:ilvl w:val="0"/>
          <w:numId w:val="26"/>
        </w:numPr>
        <w:spacing w:before="120"/>
        <w:jc w:val="both"/>
        <w:rPr>
          <w:rFonts w:ascii="Arial" w:hAnsi="Arial" w:cs="Arial"/>
          <w:b/>
          <w:szCs w:val="22"/>
        </w:rPr>
      </w:pPr>
      <w:r w:rsidRPr="00E33475">
        <w:rPr>
          <w:rFonts w:ascii="Arial" w:hAnsi="Arial" w:cs="Arial"/>
          <w:b/>
          <w:szCs w:val="22"/>
        </w:rPr>
        <w:t>Societal</w:t>
      </w:r>
      <w:r w:rsidR="00E33475">
        <w:rPr>
          <w:rFonts w:ascii="Arial" w:hAnsi="Arial" w:cs="Arial"/>
          <w:b/>
          <w:szCs w:val="22"/>
        </w:rPr>
        <w:t xml:space="preserve"> risks</w:t>
      </w:r>
      <w:r w:rsidRPr="00E33475">
        <w:rPr>
          <w:rFonts w:ascii="Arial" w:hAnsi="Arial" w:cs="Arial"/>
          <w:b/>
          <w:szCs w:val="22"/>
        </w:rPr>
        <w:t>.</w:t>
      </w:r>
      <w:r w:rsidR="00E33475" w:rsidRPr="00E33475">
        <w:rPr>
          <w:rFonts w:ascii="Arial" w:hAnsi="Arial" w:cs="Arial"/>
          <w:szCs w:val="22"/>
        </w:rPr>
        <w:t xml:space="preserve"> Risks in this category relate to population dynamics, social stability and human survival, including: availability of skilled/experienced personnel; adequacy of electricity supply; chronic diseases; increased safety incidents; unmanaged migration; vulnerability to pandemics; water supply crises.</w:t>
      </w:r>
    </w:p>
    <w:p w:rsidR="00E33475" w:rsidRPr="00E33475" w:rsidRDefault="00E33475" w:rsidP="00E33475">
      <w:pPr>
        <w:pStyle w:val="ListParagraph"/>
        <w:spacing w:before="120"/>
        <w:jc w:val="both"/>
        <w:rPr>
          <w:rFonts w:ascii="Arial" w:hAnsi="Arial" w:cs="Arial"/>
          <w:b/>
          <w:szCs w:val="22"/>
        </w:rPr>
      </w:pPr>
    </w:p>
    <w:p w:rsidR="007D32DF" w:rsidRPr="00E33475" w:rsidRDefault="007D32DF" w:rsidP="00E33475">
      <w:pPr>
        <w:pStyle w:val="ListParagraph"/>
        <w:numPr>
          <w:ilvl w:val="0"/>
          <w:numId w:val="26"/>
        </w:numPr>
        <w:spacing w:before="120"/>
        <w:jc w:val="both"/>
        <w:rPr>
          <w:rFonts w:ascii="Arial" w:hAnsi="Arial" w:cs="Arial"/>
          <w:b/>
          <w:szCs w:val="22"/>
        </w:rPr>
      </w:pPr>
      <w:r w:rsidRPr="00E33475">
        <w:rPr>
          <w:rFonts w:ascii="Arial" w:hAnsi="Arial" w:cs="Arial"/>
          <w:b/>
          <w:szCs w:val="22"/>
        </w:rPr>
        <w:t>Technological</w:t>
      </w:r>
      <w:r w:rsidR="00E33475">
        <w:rPr>
          <w:rFonts w:ascii="Arial" w:hAnsi="Arial" w:cs="Arial"/>
          <w:b/>
          <w:szCs w:val="22"/>
        </w:rPr>
        <w:t xml:space="preserve"> risks</w:t>
      </w:r>
      <w:r w:rsidRPr="00E33475">
        <w:rPr>
          <w:rFonts w:ascii="Arial" w:hAnsi="Arial" w:cs="Arial"/>
          <w:b/>
          <w:szCs w:val="22"/>
        </w:rPr>
        <w:t>.</w:t>
      </w:r>
      <w:r w:rsidR="00E33475" w:rsidRPr="00E33475">
        <w:rPr>
          <w:rFonts w:ascii="Arial" w:hAnsi="Arial" w:cs="Arial"/>
          <w:b/>
          <w:szCs w:val="22"/>
        </w:rPr>
        <w:t xml:space="preserve"> </w:t>
      </w:r>
      <w:r w:rsidR="00E33475" w:rsidRPr="00E33475">
        <w:rPr>
          <w:rFonts w:ascii="Arial" w:hAnsi="Arial" w:cs="Arial"/>
          <w:szCs w:val="22"/>
        </w:rPr>
        <w:t>These risks depend on the nature of the specific business, but would usually include: critical systems failures; cyber-attacks; adequacy of internet connectivity; ineffective intellectual property protections; data breach/fraud/theft; scarcity and availability of raw materials</w:t>
      </w:r>
      <w:r w:rsidR="00E33475">
        <w:rPr>
          <w:rFonts w:ascii="Arial" w:hAnsi="Arial" w:cs="Arial"/>
          <w:szCs w:val="22"/>
        </w:rPr>
        <w:t>.</w:t>
      </w:r>
    </w:p>
    <w:p w:rsidR="008F612D" w:rsidRPr="00E33475" w:rsidRDefault="00046E4F" w:rsidP="00102515">
      <w:pPr>
        <w:spacing w:before="120"/>
        <w:jc w:val="both"/>
        <w:rPr>
          <w:rFonts w:ascii="Arial" w:hAnsi="Arial" w:cs="Arial"/>
          <w:szCs w:val="22"/>
        </w:rPr>
      </w:pPr>
      <w:r w:rsidRPr="00E33475">
        <w:rPr>
          <w:rFonts w:ascii="Arial" w:hAnsi="Arial" w:cs="Arial"/>
          <w:szCs w:val="22"/>
        </w:rPr>
        <w:t xml:space="preserve">Your business may not involve </w:t>
      </w:r>
      <w:r w:rsidR="007B0FCD">
        <w:rPr>
          <w:rFonts w:ascii="Arial" w:hAnsi="Arial" w:cs="Arial"/>
          <w:szCs w:val="22"/>
        </w:rPr>
        <w:t xml:space="preserve">cross-border </w:t>
      </w:r>
      <w:r w:rsidR="00E33475">
        <w:rPr>
          <w:rFonts w:ascii="Arial" w:hAnsi="Arial" w:cs="Arial"/>
          <w:szCs w:val="22"/>
        </w:rPr>
        <w:t xml:space="preserve">transport of </w:t>
      </w:r>
      <w:r w:rsidRPr="00E33475">
        <w:rPr>
          <w:rFonts w:ascii="Arial" w:hAnsi="Arial" w:cs="Arial"/>
          <w:szCs w:val="22"/>
        </w:rPr>
        <w:t xml:space="preserve">toxic chemicals or high explosives. But if </w:t>
      </w:r>
      <w:r w:rsidR="00E33475">
        <w:rPr>
          <w:rFonts w:ascii="Arial" w:hAnsi="Arial" w:cs="Arial"/>
          <w:szCs w:val="22"/>
        </w:rPr>
        <w:t>there is</w:t>
      </w:r>
      <w:r w:rsidRPr="00E33475">
        <w:rPr>
          <w:rFonts w:ascii="Arial" w:hAnsi="Arial" w:cs="Arial"/>
          <w:szCs w:val="22"/>
        </w:rPr>
        <w:t xml:space="preserve"> an international aspect to your operations</w:t>
      </w:r>
      <w:r w:rsidR="00E33475">
        <w:rPr>
          <w:rFonts w:ascii="Arial" w:hAnsi="Arial" w:cs="Arial"/>
          <w:szCs w:val="22"/>
        </w:rPr>
        <w:t>,</w:t>
      </w:r>
      <w:r w:rsidRPr="00E33475">
        <w:rPr>
          <w:rFonts w:ascii="Arial" w:hAnsi="Arial" w:cs="Arial"/>
          <w:szCs w:val="22"/>
        </w:rPr>
        <w:t xml:space="preserve"> you might like to consider these risk categories and see whether any of them might be relevant. In our globalised world most of us are exposed to </w:t>
      </w:r>
      <w:r w:rsidR="00E33475" w:rsidRPr="00E33475">
        <w:rPr>
          <w:rFonts w:ascii="Arial" w:hAnsi="Arial" w:cs="Arial"/>
          <w:szCs w:val="22"/>
        </w:rPr>
        <w:t xml:space="preserve">some degree of </w:t>
      </w:r>
      <w:r w:rsidRPr="00E33475">
        <w:rPr>
          <w:rFonts w:ascii="Arial" w:hAnsi="Arial" w:cs="Arial"/>
          <w:szCs w:val="22"/>
        </w:rPr>
        <w:t xml:space="preserve">cross-border risk, and the </w:t>
      </w:r>
      <w:r w:rsidR="00E33475" w:rsidRPr="00E33475">
        <w:rPr>
          <w:rFonts w:ascii="Arial" w:hAnsi="Arial" w:cs="Arial"/>
          <w:szCs w:val="22"/>
        </w:rPr>
        <w:t xml:space="preserve">AECI </w:t>
      </w:r>
      <w:r w:rsidRPr="00E33475">
        <w:rPr>
          <w:rFonts w:ascii="Arial" w:hAnsi="Arial" w:cs="Arial"/>
          <w:szCs w:val="22"/>
        </w:rPr>
        <w:t xml:space="preserve">approach offers insights that could </w:t>
      </w:r>
      <w:r w:rsidR="006D728C" w:rsidRPr="00E33475">
        <w:rPr>
          <w:rFonts w:ascii="Arial" w:hAnsi="Arial" w:cs="Arial"/>
          <w:szCs w:val="22"/>
        </w:rPr>
        <w:t>be helpful</w:t>
      </w:r>
      <w:r w:rsidR="00E33475" w:rsidRPr="00E33475">
        <w:rPr>
          <w:rFonts w:ascii="Arial" w:hAnsi="Arial" w:cs="Arial"/>
          <w:szCs w:val="22"/>
        </w:rPr>
        <w:t>.</w:t>
      </w:r>
    </w:p>
    <w:sectPr w:rsidR="008F612D" w:rsidRPr="00E33475" w:rsidSect="00E52C83">
      <w:headerReference w:type="default" r:id="rId9"/>
      <w:headerReference w:type="first" r:id="rId10"/>
      <w:footerReference w:type="first" r:id="rId11"/>
      <w:pgSz w:w="11907" w:h="16840" w:code="9"/>
      <w:pgMar w:top="1440" w:right="1440" w:bottom="23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9D" w:rsidRDefault="00806B9D">
      <w:r>
        <w:separator/>
      </w:r>
    </w:p>
  </w:endnote>
  <w:endnote w:type="continuationSeparator" w:id="0">
    <w:p w:rsidR="00806B9D" w:rsidRDefault="0080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55" w:rsidRDefault="00FC3D55" w:rsidP="0052401F">
    <w:pPr>
      <w:pBdr>
        <w:bottom w:val="single" w:sz="6" w:space="1" w:color="auto"/>
      </w:pBdr>
      <w:tabs>
        <w:tab w:val="left" w:pos="5400"/>
      </w:tabs>
      <w:jc w:val="both"/>
      <w:rPr>
        <w:rFonts w:ascii="Arial" w:hAnsi="Arial" w:cs="Arial"/>
        <w:sz w:val="18"/>
        <w:szCs w:val="18"/>
      </w:rPr>
    </w:pPr>
  </w:p>
  <w:p w:rsidR="006D728C" w:rsidRPr="007B0FCD" w:rsidRDefault="006D728C" w:rsidP="006D728C">
    <w:pPr>
      <w:tabs>
        <w:tab w:val="left" w:pos="5400"/>
      </w:tabs>
      <w:spacing w:before="120"/>
      <w:jc w:val="center"/>
      <w:rPr>
        <w:rFonts w:ascii="Arial" w:hAnsi="Arial" w:cs="Arial"/>
        <w:b/>
        <w:i/>
        <w:sz w:val="20"/>
        <w:szCs w:val="18"/>
      </w:rPr>
    </w:pPr>
    <w:r w:rsidRPr="007B0FCD">
      <w:rPr>
        <w:rFonts w:ascii="Arial" w:hAnsi="Arial" w:cs="Arial"/>
        <w:b/>
        <w:i/>
        <w:sz w:val="20"/>
        <w:szCs w:val="18"/>
      </w:rPr>
      <w:t xml:space="preserve">(*) Used with </w:t>
    </w:r>
    <w:r w:rsidR="007B0FCD" w:rsidRPr="007B0FCD">
      <w:rPr>
        <w:rFonts w:ascii="Arial" w:hAnsi="Arial" w:cs="Arial"/>
        <w:b/>
        <w:i/>
        <w:sz w:val="20"/>
        <w:szCs w:val="18"/>
      </w:rPr>
      <w:t xml:space="preserve">the kind </w:t>
    </w:r>
    <w:r w:rsidRPr="007B0FCD">
      <w:rPr>
        <w:rFonts w:ascii="Arial" w:hAnsi="Arial" w:cs="Arial"/>
        <w:b/>
        <w:i/>
        <w:sz w:val="20"/>
        <w:szCs w:val="18"/>
      </w:rPr>
      <w:t>permission</w:t>
    </w:r>
    <w:r w:rsidR="007B0FCD" w:rsidRPr="007B0FCD">
      <w:rPr>
        <w:rFonts w:ascii="Arial" w:hAnsi="Arial" w:cs="Arial"/>
        <w:b/>
        <w:i/>
        <w:sz w:val="20"/>
        <w:szCs w:val="18"/>
      </w:rPr>
      <w:t xml:space="preserve"> of Gillian </w:t>
    </w:r>
    <w:proofErr w:type="spellStart"/>
    <w:r w:rsidR="007B0FCD" w:rsidRPr="007B0FCD">
      <w:rPr>
        <w:rFonts w:ascii="Arial" w:hAnsi="Arial" w:cs="Arial"/>
        <w:b/>
        <w:i/>
        <w:sz w:val="20"/>
        <w:szCs w:val="18"/>
      </w:rPr>
      <w:t>Edworthy</w:t>
    </w:r>
    <w:proofErr w:type="spellEnd"/>
    <w:r w:rsidR="007B0FCD" w:rsidRPr="007B0FCD">
      <w:rPr>
        <w:rFonts w:ascii="Arial" w:hAnsi="Arial" w:cs="Arial"/>
        <w:b/>
        <w:i/>
        <w:sz w:val="20"/>
        <w:szCs w:val="18"/>
      </w:rPr>
      <w:t>,</w:t>
    </w:r>
    <w:r w:rsidR="007B0FCD">
      <w:rPr>
        <w:rFonts w:ascii="Arial" w:hAnsi="Arial" w:cs="Arial"/>
        <w:b/>
        <w:i/>
        <w:sz w:val="20"/>
        <w:szCs w:val="18"/>
      </w:rPr>
      <w:t xml:space="preserve"> </w:t>
    </w:r>
    <w:r w:rsidR="007B0FCD" w:rsidRPr="007B0FCD">
      <w:rPr>
        <w:rFonts w:ascii="Arial" w:hAnsi="Arial" w:cs="Arial"/>
        <w:b/>
        <w:i/>
        <w:sz w:val="20"/>
        <w:szCs w:val="18"/>
      </w:rPr>
      <w:t>Group Risk Officer, AECI.</w:t>
    </w:r>
  </w:p>
  <w:p w:rsidR="00FC3D55" w:rsidRPr="0052401F" w:rsidRDefault="00FC3D55" w:rsidP="0052401F">
    <w:pPr>
      <w:tabs>
        <w:tab w:val="left" w:pos="5400"/>
      </w:tabs>
      <w:spacing w:before="120"/>
      <w:jc w:val="both"/>
      <w:rPr>
        <w:rFonts w:ascii="Arial" w:hAnsi="Arial" w:cs="Arial"/>
        <w:sz w:val="18"/>
        <w:szCs w:val="18"/>
      </w:rPr>
    </w:pPr>
    <w:r w:rsidRPr="0052401F">
      <w:rPr>
        <w:rFonts w:ascii="Arial" w:hAnsi="Arial" w:cs="Arial"/>
        <w:sz w:val="18"/>
        <w:szCs w:val="18"/>
      </w:rPr>
      <w:t xml:space="preserve">To provide feedback on this Briefing Note, or for more details on how to develop effective risk management, </w:t>
    </w:r>
    <w:hyperlink r:id="rId1" w:history="1">
      <w:r w:rsidRPr="0052401F">
        <w:rPr>
          <w:rStyle w:val="Hyperlink"/>
          <w:rFonts w:ascii="Arial" w:hAnsi="Arial" w:cs="Arial"/>
          <w:sz w:val="18"/>
          <w:szCs w:val="18"/>
        </w:rPr>
        <w:t>contact the Risk Doctor</w:t>
      </w:r>
    </w:hyperlink>
    <w:r w:rsidRPr="0052401F">
      <w:rPr>
        <w:rFonts w:ascii="Arial" w:hAnsi="Arial" w:cs="Arial"/>
        <w:sz w:val="18"/>
        <w:szCs w:val="18"/>
      </w:rPr>
      <w:t xml:space="preserve"> (</w:t>
    </w:r>
    <w:hyperlink r:id="rId2" w:history="1">
      <w:r w:rsidRPr="0052401F">
        <w:rPr>
          <w:rStyle w:val="Hyperlink"/>
          <w:rFonts w:ascii="Arial" w:hAnsi="Arial" w:cs="Arial"/>
          <w:b/>
          <w:i/>
          <w:sz w:val="18"/>
          <w:szCs w:val="18"/>
        </w:rPr>
        <w:t>info@risk-doctor.com</w:t>
      </w:r>
    </w:hyperlink>
    <w:r w:rsidRPr="0052401F">
      <w:rPr>
        <w:rFonts w:ascii="Arial" w:hAnsi="Arial" w:cs="Arial"/>
        <w:sz w:val="18"/>
        <w:szCs w:val="18"/>
      </w:rPr>
      <w:t xml:space="preserve">), or </w:t>
    </w:r>
    <w:hyperlink r:id="rId3" w:history="1">
      <w:r w:rsidRPr="0052401F">
        <w:rPr>
          <w:rStyle w:val="Hyperlink"/>
          <w:rFonts w:ascii="Arial" w:hAnsi="Arial" w:cs="Arial"/>
          <w:sz w:val="18"/>
          <w:szCs w:val="18"/>
        </w:rPr>
        <w:t>visit the Risk Doctor website</w:t>
      </w:r>
    </w:hyperlink>
    <w:r w:rsidRPr="0052401F">
      <w:rPr>
        <w:rFonts w:ascii="Arial" w:hAnsi="Arial" w:cs="Arial"/>
        <w:sz w:val="18"/>
        <w:szCs w:val="18"/>
      </w:rPr>
      <w:t xml:space="preserve"> (</w:t>
    </w:r>
    <w:hyperlink r:id="rId4" w:history="1">
      <w:r w:rsidRPr="0052401F">
        <w:rPr>
          <w:rStyle w:val="Hyperlink"/>
          <w:rFonts w:ascii="Arial" w:hAnsi="Arial" w:cs="Arial"/>
          <w:b/>
          <w:i/>
          <w:sz w:val="18"/>
          <w:szCs w:val="18"/>
        </w:rPr>
        <w:t>www.risk-doctor.com</w:t>
      </w:r>
    </w:hyperlink>
    <w:r w:rsidRPr="0052401F">
      <w:rPr>
        <w:rFonts w:ascii="Arial" w:hAnsi="Arial" w:cs="Arial"/>
        <w:sz w:val="18"/>
        <w:szCs w:val="18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9D" w:rsidRDefault="00806B9D">
      <w:r>
        <w:separator/>
      </w:r>
    </w:p>
  </w:footnote>
  <w:footnote w:type="continuationSeparator" w:id="0">
    <w:p w:rsidR="00806B9D" w:rsidRDefault="0080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55" w:rsidRPr="0041619C" w:rsidRDefault="00E743DB" w:rsidP="0041619C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182245</wp:posOffset>
              </wp:positionV>
              <wp:extent cx="5761990" cy="0"/>
              <wp:effectExtent l="19685" t="20320" r="19050" b="1778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4.35pt" to="4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" strokecolor="#00004a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55" w:rsidRDefault="00E743DB" w:rsidP="008F3541">
    <w:pPr>
      <w:pStyle w:val="Header"/>
      <w:jc w:val="center"/>
      <w:rPr>
        <w:rFonts w:ascii="Copperplate Gothic Bold" w:hAnsi="Copperplate Gothic Bold"/>
        <w:color w:val="000080"/>
        <w:sz w:val="16"/>
      </w:rPr>
    </w:pPr>
    <w:r>
      <w:rPr>
        <w:noProof/>
        <w:lang w:val="en-AU" w:eastAsia="en-A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5000625</wp:posOffset>
          </wp:positionH>
          <wp:positionV relativeFrom="paragraph">
            <wp:posOffset>-28575</wp:posOffset>
          </wp:positionV>
          <wp:extent cx="742950" cy="1114425"/>
          <wp:effectExtent l="19050" t="19050" r="19050" b="28575"/>
          <wp:wrapNone/>
          <wp:docPr id="22" name="Picture 22" descr="David HillsonDSC_0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avid HillsonDSC_0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114425"/>
                  </a:xfrm>
                  <a:prstGeom prst="rect">
                    <a:avLst/>
                  </a:prstGeom>
                  <a:noFill/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-28575</wp:posOffset>
          </wp:positionV>
          <wp:extent cx="839470" cy="1278890"/>
          <wp:effectExtent l="0" t="0" r="0" b="0"/>
          <wp:wrapNone/>
          <wp:docPr id="21" name="Picture 21" descr="risk-doctor-logo_Sml 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isk-doctor-logo_Sml cr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D55">
      <w:rPr>
        <w:rFonts w:ascii="Copperplate Gothic Bold" w:hAnsi="Copperplate Gothic Bold"/>
        <w:color w:val="000000"/>
        <w:sz w:val="28"/>
        <w:szCs w:val="28"/>
      </w:rPr>
      <w:t xml:space="preserve">   RISK DOCTOR BRIEFING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DD9"/>
    <w:multiLevelType w:val="hybridMultilevel"/>
    <w:tmpl w:val="391AF4FA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990108C"/>
    <w:multiLevelType w:val="hybridMultilevel"/>
    <w:tmpl w:val="F858F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92E40"/>
    <w:multiLevelType w:val="hybridMultilevel"/>
    <w:tmpl w:val="1CA08B88"/>
    <w:lvl w:ilvl="0" w:tplc="08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C646C"/>
    <w:multiLevelType w:val="hybridMultilevel"/>
    <w:tmpl w:val="AEFA5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30303D"/>
    <w:multiLevelType w:val="hybridMultilevel"/>
    <w:tmpl w:val="B95EF8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ED38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F466B2"/>
    <w:multiLevelType w:val="hybridMultilevel"/>
    <w:tmpl w:val="344C8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4613C"/>
    <w:multiLevelType w:val="hybridMultilevel"/>
    <w:tmpl w:val="C706E90E"/>
    <w:lvl w:ilvl="0" w:tplc="655AB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A0B2E"/>
    <w:multiLevelType w:val="hybridMultilevel"/>
    <w:tmpl w:val="369A3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0513F"/>
    <w:multiLevelType w:val="hybridMultilevel"/>
    <w:tmpl w:val="39F00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9665B9"/>
    <w:multiLevelType w:val="hybridMultilevel"/>
    <w:tmpl w:val="4DE493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AE6DF8"/>
    <w:multiLevelType w:val="hybridMultilevel"/>
    <w:tmpl w:val="3B4C5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3560E6"/>
    <w:multiLevelType w:val="hybridMultilevel"/>
    <w:tmpl w:val="054C8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386FA1"/>
    <w:multiLevelType w:val="hybridMultilevel"/>
    <w:tmpl w:val="A8F8BBE6"/>
    <w:lvl w:ilvl="0" w:tplc="8C2877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D55449"/>
    <w:multiLevelType w:val="hybridMultilevel"/>
    <w:tmpl w:val="701089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9917DB"/>
    <w:multiLevelType w:val="multilevel"/>
    <w:tmpl w:val="3244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8B7A9D"/>
    <w:multiLevelType w:val="hybridMultilevel"/>
    <w:tmpl w:val="4B30F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B208BD"/>
    <w:multiLevelType w:val="hybridMultilevel"/>
    <w:tmpl w:val="B590D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3533D"/>
    <w:multiLevelType w:val="hybridMultilevel"/>
    <w:tmpl w:val="0270D3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450A44"/>
    <w:multiLevelType w:val="hybridMultilevel"/>
    <w:tmpl w:val="1AA6D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E01629"/>
    <w:multiLevelType w:val="multilevel"/>
    <w:tmpl w:val="3244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60515D"/>
    <w:multiLevelType w:val="hybridMultilevel"/>
    <w:tmpl w:val="5DD89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C5340B"/>
    <w:multiLevelType w:val="hybridMultilevel"/>
    <w:tmpl w:val="6FD00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0E7DE5"/>
    <w:multiLevelType w:val="hybridMultilevel"/>
    <w:tmpl w:val="30CAFB1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8EE2069"/>
    <w:multiLevelType w:val="hybridMultilevel"/>
    <w:tmpl w:val="4DE0F5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60356E"/>
    <w:multiLevelType w:val="hybridMultilevel"/>
    <w:tmpl w:val="DE003C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5"/>
  </w:num>
  <w:num w:numId="5">
    <w:abstractNumId w:val="11"/>
  </w:num>
  <w:num w:numId="6">
    <w:abstractNumId w:val="19"/>
  </w:num>
  <w:num w:numId="7">
    <w:abstractNumId w:val="7"/>
  </w:num>
  <w:num w:numId="8">
    <w:abstractNumId w:val="15"/>
  </w:num>
  <w:num w:numId="9">
    <w:abstractNumId w:val="20"/>
  </w:num>
  <w:num w:numId="10">
    <w:abstractNumId w:val="4"/>
  </w:num>
  <w:num w:numId="11">
    <w:abstractNumId w:val="18"/>
  </w:num>
  <w:num w:numId="12">
    <w:abstractNumId w:val="6"/>
  </w:num>
  <w:num w:numId="13">
    <w:abstractNumId w:val="1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4"/>
  </w:num>
  <w:num w:numId="19">
    <w:abstractNumId w:val="22"/>
  </w:num>
  <w:num w:numId="20">
    <w:abstractNumId w:val="24"/>
  </w:num>
  <w:num w:numId="21">
    <w:abstractNumId w:val="23"/>
  </w:num>
  <w:num w:numId="22">
    <w:abstractNumId w:val="13"/>
  </w:num>
  <w:num w:numId="23">
    <w:abstractNumId w:val="25"/>
  </w:num>
  <w:num w:numId="24">
    <w:abstractNumId w:val="0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09"/>
    <w:rsid w:val="0002231D"/>
    <w:rsid w:val="00042317"/>
    <w:rsid w:val="0004392C"/>
    <w:rsid w:val="00046E4F"/>
    <w:rsid w:val="00057949"/>
    <w:rsid w:val="0008598F"/>
    <w:rsid w:val="000D013C"/>
    <w:rsid w:val="000E1891"/>
    <w:rsid w:val="00102515"/>
    <w:rsid w:val="00103EE8"/>
    <w:rsid w:val="00147E45"/>
    <w:rsid w:val="00154FC9"/>
    <w:rsid w:val="00157620"/>
    <w:rsid w:val="001A2117"/>
    <w:rsid w:val="001D5B21"/>
    <w:rsid w:val="001E15A6"/>
    <w:rsid w:val="001E39F8"/>
    <w:rsid w:val="00203454"/>
    <w:rsid w:val="00213F42"/>
    <w:rsid w:val="00216593"/>
    <w:rsid w:val="00236421"/>
    <w:rsid w:val="002451F1"/>
    <w:rsid w:val="0027037F"/>
    <w:rsid w:val="00290B73"/>
    <w:rsid w:val="00293F43"/>
    <w:rsid w:val="002A345C"/>
    <w:rsid w:val="002A4E6E"/>
    <w:rsid w:val="002A768A"/>
    <w:rsid w:val="002B2796"/>
    <w:rsid w:val="002D32E8"/>
    <w:rsid w:val="002D344E"/>
    <w:rsid w:val="002E3F68"/>
    <w:rsid w:val="002F59AE"/>
    <w:rsid w:val="00320894"/>
    <w:rsid w:val="00325335"/>
    <w:rsid w:val="00340203"/>
    <w:rsid w:val="003718AD"/>
    <w:rsid w:val="0038324C"/>
    <w:rsid w:val="003A2C91"/>
    <w:rsid w:val="003A711D"/>
    <w:rsid w:val="003C1288"/>
    <w:rsid w:val="003C19F4"/>
    <w:rsid w:val="003C1FDE"/>
    <w:rsid w:val="003E6DEB"/>
    <w:rsid w:val="003F5E32"/>
    <w:rsid w:val="00403668"/>
    <w:rsid w:val="00415ED1"/>
    <w:rsid w:val="0041619C"/>
    <w:rsid w:val="00416D4F"/>
    <w:rsid w:val="0045753F"/>
    <w:rsid w:val="00463147"/>
    <w:rsid w:val="00476423"/>
    <w:rsid w:val="00496531"/>
    <w:rsid w:val="004B11F0"/>
    <w:rsid w:val="004C15B0"/>
    <w:rsid w:val="004C6A1C"/>
    <w:rsid w:val="005160B5"/>
    <w:rsid w:val="0052401F"/>
    <w:rsid w:val="0053154D"/>
    <w:rsid w:val="0053596A"/>
    <w:rsid w:val="005375A8"/>
    <w:rsid w:val="0054426D"/>
    <w:rsid w:val="005778E1"/>
    <w:rsid w:val="00583B42"/>
    <w:rsid w:val="005A105B"/>
    <w:rsid w:val="005A54AE"/>
    <w:rsid w:val="005D5114"/>
    <w:rsid w:val="005D7575"/>
    <w:rsid w:val="005F0923"/>
    <w:rsid w:val="00600B2B"/>
    <w:rsid w:val="00614CDE"/>
    <w:rsid w:val="00643F65"/>
    <w:rsid w:val="006520B6"/>
    <w:rsid w:val="00665CE4"/>
    <w:rsid w:val="00684607"/>
    <w:rsid w:val="00694CC1"/>
    <w:rsid w:val="006B4293"/>
    <w:rsid w:val="006C2BE1"/>
    <w:rsid w:val="006C3B4E"/>
    <w:rsid w:val="006C4B51"/>
    <w:rsid w:val="006C60C8"/>
    <w:rsid w:val="006C6AD8"/>
    <w:rsid w:val="006C6E79"/>
    <w:rsid w:val="006D728C"/>
    <w:rsid w:val="006E5EC2"/>
    <w:rsid w:val="006F7B79"/>
    <w:rsid w:val="00705B07"/>
    <w:rsid w:val="00707BB8"/>
    <w:rsid w:val="0073399F"/>
    <w:rsid w:val="00744D28"/>
    <w:rsid w:val="0075147F"/>
    <w:rsid w:val="007600AB"/>
    <w:rsid w:val="00775E1A"/>
    <w:rsid w:val="007773DF"/>
    <w:rsid w:val="0078655A"/>
    <w:rsid w:val="00787146"/>
    <w:rsid w:val="007A6D09"/>
    <w:rsid w:val="007B0FCD"/>
    <w:rsid w:val="007B7712"/>
    <w:rsid w:val="007C4D0F"/>
    <w:rsid w:val="007D32DF"/>
    <w:rsid w:val="007E0D30"/>
    <w:rsid w:val="007E7028"/>
    <w:rsid w:val="00806B9D"/>
    <w:rsid w:val="0082000E"/>
    <w:rsid w:val="008347F4"/>
    <w:rsid w:val="008515CE"/>
    <w:rsid w:val="0086257B"/>
    <w:rsid w:val="00894AE3"/>
    <w:rsid w:val="00897E30"/>
    <w:rsid w:val="008C1FF8"/>
    <w:rsid w:val="008D1D20"/>
    <w:rsid w:val="008D3ACF"/>
    <w:rsid w:val="008E4BC5"/>
    <w:rsid w:val="008E5683"/>
    <w:rsid w:val="008F3541"/>
    <w:rsid w:val="008F612D"/>
    <w:rsid w:val="008F76E3"/>
    <w:rsid w:val="00900A5C"/>
    <w:rsid w:val="00906344"/>
    <w:rsid w:val="0092517F"/>
    <w:rsid w:val="009820C2"/>
    <w:rsid w:val="009A0C93"/>
    <w:rsid w:val="009D127A"/>
    <w:rsid w:val="009D51AB"/>
    <w:rsid w:val="00A407C8"/>
    <w:rsid w:val="00A444B5"/>
    <w:rsid w:val="00A67941"/>
    <w:rsid w:val="00AA269D"/>
    <w:rsid w:val="00AA568F"/>
    <w:rsid w:val="00AA7DDF"/>
    <w:rsid w:val="00AB050B"/>
    <w:rsid w:val="00AF7C47"/>
    <w:rsid w:val="00B047E3"/>
    <w:rsid w:val="00B21D10"/>
    <w:rsid w:val="00B45A5D"/>
    <w:rsid w:val="00B52254"/>
    <w:rsid w:val="00B67AC1"/>
    <w:rsid w:val="00BA5D58"/>
    <w:rsid w:val="00BE0B80"/>
    <w:rsid w:val="00BF3FD3"/>
    <w:rsid w:val="00C24D11"/>
    <w:rsid w:val="00C544D2"/>
    <w:rsid w:val="00C54827"/>
    <w:rsid w:val="00C55A62"/>
    <w:rsid w:val="00C77597"/>
    <w:rsid w:val="00C9236D"/>
    <w:rsid w:val="00CA0691"/>
    <w:rsid w:val="00CE2D7B"/>
    <w:rsid w:val="00CE6C7A"/>
    <w:rsid w:val="00D068D0"/>
    <w:rsid w:val="00D07A5E"/>
    <w:rsid w:val="00D270BC"/>
    <w:rsid w:val="00D359D0"/>
    <w:rsid w:val="00D463B1"/>
    <w:rsid w:val="00D62B46"/>
    <w:rsid w:val="00D80313"/>
    <w:rsid w:val="00D869DB"/>
    <w:rsid w:val="00DC484A"/>
    <w:rsid w:val="00DD6F18"/>
    <w:rsid w:val="00E33475"/>
    <w:rsid w:val="00E4379F"/>
    <w:rsid w:val="00E43F93"/>
    <w:rsid w:val="00E46B84"/>
    <w:rsid w:val="00E52489"/>
    <w:rsid w:val="00E52C83"/>
    <w:rsid w:val="00E61FEE"/>
    <w:rsid w:val="00E71CE6"/>
    <w:rsid w:val="00E743DB"/>
    <w:rsid w:val="00E90D57"/>
    <w:rsid w:val="00EB78D1"/>
    <w:rsid w:val="00EC703B"/>
    <w:rsid w:val="00EE2BB2"/>
    <w:rsid w:val="00EF2FF5"/>
    <w:rsid w:val="00EF420F"/>
    <w:rsid w:val="00EF6D58"/>
    <w:rsid w:val="00EF7B6B"/>
    <w:rsid w:val="00F1244E"/>
    <w:rsid w:val="00F270E2"/>
    <w:rsid w:val="00F42D81"/>
    <w:rsid w:val="00F64353"/>
    <w:rsid w:val="00F75E37"/>
    <w:rsid w:val="00F7663A"/>
    <w:rsid w:val="00F901D3"/>
    <w:rsid w:val="00F923E4"/>
    <w:rsid w:val="00FA0BDE"/>
    <w:rsid w:val="00FA3410"/>
    <w:rsid w:val="00FA5DCB"/>
    <w:rsid w:val="00FB5690"/>
    <w:rsid w:val="00FC3D55"/>
    <w:rsid w:val="00FC6444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8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89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E1891"/>
    <w:rPr>
      <w:color w:val="0000FF"/>
      <w:u w:val="single"/>
    </w:rPr>
  </w:style>
  <w:style w:type="paragraph" w:styleId="BodyText">
    <w:name w:val="Body Text"/>
    <w:basedOn w:val="Normal"/>
    <w:rsid w:val="003A711D"/>
    <w:pPr>
      <w:autoSpaceDE w:val="0"/>
      <w:autoSpaceDN w:val="0"/>
      <w:adjustRightInd w:val="0"/>
      <w:spacing w:after="120"/>
    </w:pPr>
    <w:rPr>
      <w:rFonts w:ascii="Arial" w:hAnsi="Arial" w:cs="Tahoma"/>
      <w:sz w:val="20"/>
      <w:szCs w:val="20"/>
    </w:rPr>
  </w:style>
  <w:style w:type="paragraph" w:styleId="Subtitle">
    <w:name w:val="Subtitle"/>
    <w:basedOn w:val="Normal"/>
    <w:qFormat/>
    <w:rsid w:val="003A711D"/>
    <w:pPr>
      <w:jc w:val="both"/>
    </w:pPr>
    <w:rPr>
      <w:szCs w:val="20"/>
      <w:lang w:val="en-US"/>
    </w:rPr>
  </w:style>
  <w:style w:type="paragraph" w:styleId="FootnoteText">
    <w:name w:val="footnote text"/>
    <w:basedOn w:val="Normal"/>
    <w:semiHidden/>
    <w:rsid w:val="00583B42"/>
    <w:rPr>
      <w:sz w:val="20"/>
      <w:szCs w:val="20"/>
    </w:rPr>
  </w:style>
  <w:style w:type="paragraph" w:styleId="BalloonText">
    <w:name w:val="Balloon Text"/>
    <w:basedOn w:val="Normal"/>
    <w:semiHidden/>
    <w:rsid w:val="00AA7D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2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3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8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89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E1891"/>
    <w:rPr>
      <w:color w:val="0000FF"/>
      <w:u w:val="single"/>
    </w:rPr>
  </w:style>
  <w:style w:type="paragraph" w:styleId="BodyText">
    <w:name w:val="Body Text"/>
    <w:basedOn w:val="Normal"/>
    <w:rsid w:val="003A711D"/>
    <w:pPr>
      <w:autoSpaceDE w:val="0"/>
      <w:autoSpaceDN w:val="0"/>
      <w:adjustRightInd w:val="0"/>
      <w:spacing w:after="120"/>
    </w:pPr>
    <w:rPr>
      <w:rFonts w:ascii="Arial" w:hAnsi="Arial" w:cs="Tahoma"/>
      <w:sz w:val="20"/>
      <w:szCs w:val="20"/>
    </w:rPr>
  </w:style>
  <w:style w:type="paragraph" w:styleId="Subtitle">
    <w:name w:val="Subtitle"/>
    <w:basedOn w:val="Normal"/>
    <w:qFormat/>
    <w:rsid w:val="003A711D"/>
    <w:pPr>
      <w:jc w:val="both"/>
    </w:pPr>
    <w:rPr>
      <w:szCs w:val="20"/>
      <w:lang w:val="en-US"/>
    </w:rPr>
  </w:style>
  <w:style w:type="paragraph" w:styleId="FootnoteText">
    <w:name w:val="footnote text"/>
    <w:basedOn w:val="Normal"/>
    <w:semiHidden/>
    <w:rsid w:val="00583B42"/>
    <w:rPr>
      <w:sz w:val="20"/>
      <w:szCs w:val="20"/>
    </w:rPr>
  </w:style>
  <w:style w:type="paragraph" w:styleId="BalloonText">
    <w:name w:val="Balloon Text"/>
    <w:basedOn w:val="Normal"/>
    <w:semiHidden/>
    <w:rsid w:val="00AA7D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2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I.co.z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sk-doctor.com" TargetMode="External"/><Relationship Id="rId2" Type="http://schemas.openxmlformats.org/officeDocument/2006/relationships/hyperlink" Target="mailto:info@risk-doctor.com?subject=RD%20Network%20feedback" TargetMode="External"/><Relationship Id="rId1" Type="http://schemas.openxmlformats.org/officeDocument/2006/relationships/hyperlink" Target="mailto:info@risk-doctor.com?subject=RD%20Briefing%20feedback" TargetMode="External"/><Relationship Id="rId4" Type="http://schemas.openxmlformats.org/officeDocument/2006/relationships/hyperlink" Target="http://www.risk-docto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\Application%20Data\Microsoft\Templates\RD%20Brief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 Briefing template</Template>
  <TotalTime>0</TotalTime>
  <Pages>1</Pages>
  <Words>350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DOCTOR BRIEFING</vt:lpstr>
    </vt:vector>
  </TitlesOfParts>
  <Company>Risk Doctor  &amp; Partners</Company>
  <LinksUpToDate>false</LinksUpToDate>
  <CharactersWithSpaces>2691</CharactersWithSpaces>
  <SharedDoc>false</SharedDoc>
  <HLinks>
    <vt:vector size="24" baseType="variant">
      <vt:variant>
        <vt:i4>6291579</vt:i4>
      </vt:variant>
      <vt:variant>
        <vt:i4>9</vt:i4>
      </vt:variant>
      <vt:variant>
        <vt:i4>0</vt:i4>
      </vt:variant>
      <vt:variant>
        <vt:i4>5</vt:i4>
      </vt:variant>
      <vt:variant>
        <vt:lpwstr>http://www.risk-doctor.com/</vt:lpwstr>
      </vt:variant>
      <vt:variant>
        <vt:lpwstr/>
      </vt:variant>
      <vt:variant>
        <vt:i4>6291579</vt:i4>
      </vt:variant>
      <vt:variant>
        <vt:i4>6</vt:i4>
      </vt:variant>
      <vt:variant>
        <vt:i4>0</vt:i4>
      </vt:variant>
      <vt:variant>
        <vt:i4>5</vt:i4>
      </vt:variant>
      <vt:variant>
        <vt:lpwstr>http://www.risk-doctor.com/</vt:lpwstr>
      </vt:variant>
      <vt:variant>
        <vt:lpwstr/>
      </vt:variant>
      <vt:variant>
        <vt:i4>114</vt:i4>
      </vt:variant>
      <vt:variant>
        <vt:i4>3</vt:i4>
      </vt:variant>
      <vt:variant>
        <vt:i4>0</vt:i4>
      </vt:variant>
      <vt:variant>
        <vt:i4>5</vt:i4>
      </vt:variant>
      <vt:variant>
        <vt:lpwstr>mailto:info@risk-doctor.com?subject=RD%20Network%20feedback</vt:lpwstr>
      </vt:variant>
      <vt:variant>
        <vt:lpwstr/>
      </vt:variant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mailto:info@risk-doctor.com?subject=RD%20Briefing%20feedback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DOCTOR BRIEFING</dc:title>
  <dc:creator>David Hillson</dc:creator>
  <cp:lastModifiedBy>Maja Kowalski</cp:lastModifiedBy>
  <cp:revision>2</cp:revision>
  <cp:lastPrinted>2008-09-01T09:44:00Z</cp:lastPrinted>
  <dcterms:created xsi:type="dcterms:W3CDTF">2013-06-06T15:47:00Z</dcterms:created>
  <dcterms:modified xsi:type="dcterms:W3CDTF">2013-06-06T15:47:00Z</dcterms:modified>
</cp:coreProperties>
</file>